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b w:val="1"/>
          <w:sz w:val="36"/>
          <w:lang w:val="en-US" w:eastAsia="zh-CN"/>
          <w:szCs w:val="36"/>
          <w:rFonts w:ascii="宋体" w:hAnsi="宋体" w:eastAsia="宋体" w:hint="eastAsia"/>
        </w:rPr>
      </w:pPr>
      <w:r>
        <w:rPr>
          <w:b w:val="1"/>
          <w:sz w:val="36"/>
          <w:lang w:val="en-US" w:eastAsia="zh-CN"/>
          <w:szCs w:val="36"/>
          <w:rFonts w:ascii="宋体" w:hAnsi="宋体" w:eastAsia="宋体" w:hint="eastAsia"/>
        </w:rPr>
        <w:t xml:space="preserve">长葛市八七路中段南侧部分房屋3年租赁权</w:t>
      </w:r>
      <w:r>
        <w:rPr>
          <w:b w:val="1"/>
          <w:sz w:val="36"/>
          <w:lang w:val="en-US" w:eastAsia="zh-CN"/>
          <w:szCs w:val="36"/>
          <w:rFonts w:ascii="宋体" w:hAnsi="宋体" w:eastAsia="宋体" w:hint="eastAsia"/>
        </w:rPr>
      </w:r>
    </w:p>
    <w:p>
      <w:pPr>
        <w:pStyle w:val="Normal"/>
        <w:jc w:val="center"/>
        <w:rPr>
          <w:b w:val="1"/>
          <w:sz w:val="36"/>
          <w:lang w:val="en-US" w:eastAsia="zh-CN"/>
          <w:szCs w:val="36"/>
          <w:rFonts w:ascii="宋体" w:hAnsi="宋体" w:eastAsia="宋体" w:hint="eastAsia"/>
        </w:rPr>
      </w:pPr>
      <w:r>
        <w:rPr>
          <w:b w:val="1"/>
          <w:sz w:val="36"/>
          <w:lang w:val="en-US" w:eastAsia="zh-CN"/>
          <w:szCs w:val="36"/>
          <w:rFonts w:ascii="宋体" w:hAnsi="宋体" w:eastAsia="宋体" w:hint="eastAsia"/>
        </w:rPr>
        <w:t xml:space="preserve">三次拍租</w:t>
      </w:r>
      <w:r>
        <w:rPr>
          <w:b w:val="1"/>
          <w:sz w:val="36"/>
          <w:szCs w:val="36"/>
          <w:rFonts w:ascii="宋体" w:hAnsi="宋体" w:eastAsia="宋体" w:hint="eastAsia"/>
        </w:rPr>
        <w:t xml:space="preserve">公告</w:t>
      </w:r>
      <w:r>
        <w:rPr>
          <w:b w:val="1"/>
          <w:sz w:val="36"/>
          <w:szCs w:val="36"/>
          <w:rFonts w:ascii="宋体" w:hAnsi="宋体" w:eastAsia="宋体" w:hint="eastAsia"/>
        </w:rPr>
      </w:r>
    </w:p>
    <w:p>
      <w:pPr>
        <w:pStyle w:val="Normal"/>
        <w:jc w:val="center"/>
        <w:rPr>
          <w:sz w:val="32"/>
          <w:szCs w:val="32"/>
          <w:bCs/>
          <w:rFonts w:ascii="黑体" w:hAnsi="黑体" w:eastAsia="黑体" w:hint="eastAsia"/>
        </w:rPr>
      </w:pPr>
      <w:r>
        <w:rPr>
          <w:sz w:val="32"/>
          <w:szCs w:val="32"/>
          <w:bCs/>
          <w:rFonts w:ascii="黑体" w:hAnsi="黑体" w:eastAsia="黑体" w:hint="eastAsia"/>
        </w:rPr>
        <w:t xml:space="preserve">项目编号：长产权拍字【</w:t>
      </w:r>
      <w:r>
        <w:rPr>
          <w:sz w:val="32"/>
          <w:lang w:eastAsia="zh-CN"/>
          <w:szCs w:val="32"/>
          <w:bCs/>
          <w:rFonts w:ascii="黑体" w:hAnsi="黑体" w:eastAsia="黑体" w:hint="eastAsia"/>
        </w:rPr>
        <w:t xml:space="preserve">2024</w:t>
      </w:r>
      <w:r>
        <w:rPr>
          <w:sz w:val="32"/>
          <w:szCs w:val="32"/>
          <w:bCs/>
          <w:rFonts w:ascii="黑体" w:hAnsi="黑体" w:eastAsia="黑体" w:hint="eastAsia"/>
        </w:rPr>
        <w:t xml:space="preserve">】</w:t>
      </w:r>
      <w:r>
        <w:rPr>
          <w:sz w:val="32"/>
          <w:lang w:val="en-US" w:eastAsia="zh-CN"/>
          <w:szCs w:val="32"/>
          <w:bCs/>
          <w:rFonts w:ascii="黑体" w:hAnsi="黑体" w:eastAsia="黑体" w:hint="eastAsia"/>
        </w:rPr>
        <w:t xml:space="preserve">01</w:t>
      </w:r>
      <w:r>
        <w:rPr>
          <w:sz w:val="32"/>
          <w:szCs w:val="32"/>
          <w:bCs/>
          <w:rFonts w:ascii="黑体" w:hAnsi="黑体" w:eastAsia="黑体" w:hint="eastAsia"/>
        </w:rPr>
        <w:t xml:space="preserve">号</w:t>
      </w:r>
      <w:r>
        <w:rPr>
          <w:sz w:val="32"/>
          <w:szCs w:val="32"/>
          <w:bCs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我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公司</w:t>
      </w:r>
      <w:r>
        <w:rPr>
          <w:sz w:val="32"/>
          <w:szCs w:val="32"/>
          <w:rFonts w:ascii="仿宋_GB2312" w:hAnsi="仿宋_GB2312" w:eastAsia="仿宋_GB2312" w:hint="eastAsia"/>
        </w:rPr>
        <w:t xml:space="preserve">接受委托，现定于</w:t>
      </w:r>
      <w:r>
        <w:rPr>
          <w:sz w:val="32"/>
          <w:lang w:eastAsia="zh-CN"/>
          <w:szCs w:val="32"/>
          <w:rFonts w:ascii="仿宋_GB2312" w:hAnsi="仿宋_GB2312" w:eastAsia="仿宋_GB2312" w:hint="eastAsia"/>
        </w:rPr>
        <w:t xml:space="preserve">2024</w:t>
      </w:r>
      <w:r>
        <w:rPr>
          <w:sz w:val="32"/>
          <w:szCs w:val="32"/>
          <w:rFonts w:ascii="仿宋_GB2312" w:hAnsi="仿宋_GB2312" w:eastAsia="仿宋_GB2312" w:hint="eastAsia"/>
        </w:rPr>
        <w:t xml:space="preserve">年</w:t>
      </w:r>
      <w:r>
        <w:rPr>
          <w:u w:val="single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 7月10日10</w:t>
      </w:r>
      <w:r>
        <w:rPr>
          <w:sz w:val="32"/>
          <w:szCs w:val="32"/>
          <w:rFonts w:ascii="仿宋_GB2312" w:hAnsi="仿宋_GB2312" w:eastAsia="仿宋_GB2312" w:hint="eastAsia"/>
        </w:rPr>
        <w:t xml:space="preserve">时在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长葛市公共资源交易中心开标</w:t>
      </w:r>
      <w:r>
        <w:rPr>
          <w:u w:val="single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四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室</w:t>
      </w:r>
      <w:r>
        <w:rPr>
          <w:sz w:val="32"/>
          <w:szCs w:val="32"/>
          <w:rFonts w:ascii="仿宋_GB2312" w:hAnsi="仿宋_GB2312" w:eastAsia="仿宋_GB2312" w:hint="eastAsia"/>
        </w:rPr>
        <w:t xml:space="preserve">（长葛市葛天大道东段商务区6号楼</w:t>
      </w:r>
      <w:r>
        <w:rPr>
          <w:u w:val="single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 5 </w:t>
      </w:r>
      <w:r>
        <w:rPr>
          <w:sz w:val="32"/>
          <w:szCs w:val="32"/>
          <w:rFonts w:ascii="仿宋_GB2312" w:hAnsi="仿宋_GB2312" w:eastAsia="仿宋_GB2312" w:hint="eastAsia"/>
        </w:rPr>
        <w:t xml:space="preserve">楼），依法对位于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长葛市八七路中段南侧部分房屋3年租赁权拍租项目</w:t>
      </w:r>
      <w:r>
        <w:rPr>
          <w:sz w:val="32"/>
          <w:szCs w:val="32"/>
          <w:rFonts w:ascii="仿宋_GB2312" w:hAnsi="仿宋_GB2312" w:eastAsia="仿宋_GB2312" w:hint="eastAsia"/>
        </w:rPr>
        <w:t xml:space="preserve">进行公开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拍租</w:t>
      </w:r>
      <w:r>
        <w:rPr>
          <w:sz w:val="32"/>
          <w:szCs w:val="32"/>
          <w:rFonts w:ascii="仿宋_GB2312" w:hAnsi="仿宋_GB2312" w:eastAsia="仿宋_GB2312" w:hint="eastAsia"/>
        </w:rPr>
        <w:t xml:space="preserve">。现将有关事项公告如下：</w:t>
      </w:r>
      <w:r>
        <w:rPr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9" w:firstLineChars="202"/>
        <w:rPr>
          <w:b w:val="1"/>
          <w:sz w:val="32"/>
          <w:szCs w:val="32"/>
          <w:rFonts w:ascii="黑体" w:hAnsi="黑体" w:eastAsia="黑体" w:hint="eastAsia"/>
        </w:rPr>
      </w:pPr>
      <w:r>
        <w:rPr>
          <w:b w:val="1"/>
          <w:sz w:val="32"/>
          <w:szCs w:val="32"/>
          <w:rFonts w:ascii="黑体" w:hAnsi="黑体" w:eastAsia="黑体" w:hint="eastAsia"/>
        </w:rPr>
        <w:t xml:space="preserve">一、</w:t>
      </w:r>
      <w:r>
        <w:rPr>
          <w:b w:val="1"/>
          <w:sz w:val="32"/>
          <w:lang w:eastAsia="zh-CN"/>
          <w:szCs w:val="32"/>
          <w:rFonts w:ascii="黑体" w:hAnsi="黑体" w:eastAsia="黑体" w:hint="eastAsia"/>
        </w:rPr>
        <w:t xml:space="preserve">拍租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标的：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bookmarkStart w:name="OLE_LINK11" w:id="0"/>
      <w:bookmarkStart w:name="OLE_LINK9" w:id="1"/>
      <w:bookmarkStart w:name="OLE_LINK10" w:id="2"/>
      <w:bookmarkEnd w:id="0"/>
      <w:bookmarkEnd w:id="1"/>
      <w:bookmarkEnd w:id="2"/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长葛市八七路中段南侧部分房屋3年租赁权拍租项目，类型：租赁权；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详情如下：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八七路中段南侧的一层临街房，建筑面积约270.6平方米；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二至五层办公房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，建筑面积约1191.17平方米；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西侧办公房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，建筑面积约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83.22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平方米；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西侧简易房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，建筑面积约147.75平方米；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东侧办公房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，建筑面积约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99.75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平方米，详见许公房评（2024）第003号报告书。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end"/>
        <w:widowControl w:val="off"/>
        <w:spacing w:line="580" w:lineRule="exact"/>
        <w:ind w:firstLine="643" w:firstLineChars="200"/>
        <w:rPr>
          <w:b w:val="1"/>
          <w:sz w:val="32"/>
          <w:lang w:val="en-US" w:eastAsia="zh-CN"/>
          <w:szCs w:val="32"/>
          <w:bCs/>
          <w:rFonts w:ascii="仿宋_GB2312" w:hAnsi="仿宋_GB2312" w:eastAsia="仿宋_GB2312" w:hint="eastAsia"/>
        </w:rPr>
      </w:pPr>
      <w:r>
        <w:rPr>
          <w:b w:val="1"/>
          <w:sz w:val="32"/>
          <w:lang w:val="en-US" w:eastAsia="zh-CN"/>
          <w:szCs w:val="32"/>
          <w:bCs/>
          <w:rFonts w:ascii="仿宋_GB2312" w:hAnsi="仿宋_GB2312" w:eastAsia="仿宋_GB2312" w:hint="eastAsia"/>
        </w:rPr>
        <w:t xml:space="preserve">起拍价：764280‬元/3年</w:t>
      </w:r>
      <w:r>
        <w:rPr>
          <w:b w:val="1"/>
          <w:sz w:val="32"/>
          <w:lang w:val="en-US" w:eastAsia="zh-CN"/>
          <w:szCs w:val="32"/>
          <w:bCs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9" w:firstLineChars="202"/>
        <w:rPr>
          <w:b w:val="1"/>
          <w:sz w:val="32"/>
          <w:szCs w:val="32"/>
          <w:rFonts w:ascii="黑体" w:hAnsi="黑体" w:eastAsia="黑体" w:hint="eastAsia"/>
        </w:rPr>
      </w:pPr>
      <w:r>
        <w:rPr>
          <w:b w:val="1"/>
          <w:sz w:val="32"/>
          <w:szCs w:val="32"/>
          <w:rFonts w:ascii="黑体" w:hAnsi="黑体" w:eastAsia="黑体" w:hint="eastAsia"/>
        </w:rPr>
        <w:t xml:space="preserve">二、标的自公告之日起在标的物所在地公开展示。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3" w:firstLineChars="200"/>
        <w:rPr>
          <w:b w:val="1"/>
          <w:sz w:val="32"/>
          <w:szCs w:val="32"/>
          <w:rFonts w:ascii="黑体" w:hAnsi="黑体" w:eastAsia="黑体" w:hint="eastAsia"/>
        </w:rPr>
      </w:pPr>
      <w:r>
        <w:rPr>
          <w:b w:val="1"/>
          <w:sz w:val="32"/>
          <w:szCs w:val="32"/>
          <w:rFonts w:ascii="黑体" w:hAnsi="黑体" w:eastAsia="黑体" w:hint="eastAsia"/>
        </w:rPr>
        <w:t xml:space="preserve">三、</w:t>
      </w:r>
      <w:r>
        <w:rPr>
          <w:b w:val="1"/>
          <w:sz w:val="32"/>
          <w:lang w:val="en-US" w:eastAsia="zh-CN"/>
          <w:szCs w:val="32"/>
          <w:rFonts w:ascii="黑体" w:hAnsi="黑体" w:eastAsia="黑体" w:hint="eastAsia"/>
        </w:rPr>
        <w:t xml:space="preserve">即日起向本公司咨询详情并办理竞买登记手续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,</w:t>
      </w:r>
      <w:r>
        <w:rPr>
          <w:b w:val="1"/>
          <w:sz w:val="32"/>
          <w:lang w:val="en-US" w:eastAsia="zh-CN"/>
          <w:szCs w:val="32"/>
          <w:rFonts w:ascii="黑体" w:hAnsi="黑体" w:eastAsia="黑体" w:hint="eastAsia"/>
        </w:rPr>
        <w:t xml:space="preserve">并缴纳10万元竞买保证金至指定账户(保证金交纳截止到2024年  月  日16时止，以实际到账为准，拍租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会前交纳的保证金不充抵成交价款</w:t>
      </w:r>
      <w:r>
        <w:rPr>
          <w:b w:val="1"/>
          <w:sz w:val="32"/>
          <w:lang w:eastAsia="zh-CN"/>
          <w:szCs w:val="32"/>
          <w:rFonts w:ascii="黑体" w:hAnsi="黑体" w:eastAsia="黑体" w:hint="eastAsia"/>
        </w:rPr>
        <w:t xml:space="preserve">，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若不成交</w:t>
      </w:r>
      <w:r>
        <w:rPr>
          <w:b w:val="1"/>
          <w:sz w:val="32"/>
          <w:lang w:val="en-US" w:eastAsia="zh-CN"/>
          <w:szCs w:val="32"/>
          <w:rFonts w:ascii="黑体" w:hAnsi="黑体" w:eastAsia="黑体" w:hint="eastAsia"/>
        </w:rPr>
        <w:t xml:space="preserve">5个工作日内全额无息退还)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；在</w:t>
      </w:r>
      <w:r>
        <w:rPr>
          <w:b w:val="1"/>
          <w:sz w:val="32"/>
          <w:lang w:eastAsia="zh-CN"/>
          <w:szCs w:val="32"/>
          <w:rFonts w:ascii="黑体" w:hAnsi="黑体" w:eastAsia="黑体" w:hint="eastAsia"/>
        </w:rPr>
        <w:t xml:space="preserve">拍租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当天签订《竞买合同》并领取竞买号牌。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482" w:firstLineChars="150"/>
        <w:rPr>
          <w:b w:val="1"/>
          <w:sz w:val="32"/>
          <w:szCs w:val="32"/>
          <w:rFonts w:ascii="黑体" w:hAnsi="黑体" w:eastAsia="黑体" w:hint="eastAsia"/>
        </w:rPr>
      </w:pPr>
      <w:r>
        <w:rPr>
          <w:b w:val="1"/>
          <w:sz w:val="32"/>
          <w:szCs w:val="32"/>
          <w:rFonts w:ascii="黑体" w:hAnsi="黑体" w:eastAsia="黑体" w:hint="eastAsia"/>
        </w:rPr>
        <w:t xml:space="preserve"> 四、竞买人必须同时具备以下条件：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境内依法注册的具有独立法人资格的企业或其他组织（须提供营业执照、法人授权委托书）、自然人（须提供身份证和复印件）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。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提供的各种书面材料均真实、合法、有效。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五、竞买保证金缴纳方式：</w:t>
      </w:r>
      <w:r>
        <w:rPr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color w:val="ff0000"/>
          <w:sz w:val="32"/>
          <w:szCs w:val="32"/>
          <w:rFonts w:ascii="仿宋_GB2312" w:hAnsi="仿宋_GB2312" w:eastAsia="仿宋_GB2312" w:hint="eastAsia"/>
        </w:rPr>
      </w:pPr>
      <w:r>
        <w:rPr>
          <w:color w:val="ff0000"/>
          <w:sz w:val="32"/>
          <w:szCs w:val="32"/>
          <w:rFonts w:ascii="仿宋_GB2312" w:hAnsi="仿宋_GB2312" w:eastAsia="仿宋_GB2312" w:hint="eastAsia"/>
        </w:rPr>
        <w:t xml:space="preserve">电汇或转账（法人单位需从基本账户转账）递交</w:t>
      </w:r>
      <w:r>
        <w:rPr>
          <w:color w:val="ff0000"/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color w:val="ff0000"/>
          <w:sz w:val="32"/>
          <w:szCs w:val="32"/>
          <w:rFonts w:ascii="仿宋_GB2312" w:hAnsi="仿宋_GB2312" w:eastAsia="仿宋_GB2312" w:hint="eastAsia"/>
        </w:rPr>
      </w:pPr>
      <w:r>
        <w:rPr>
          <w:color w:val="ff0000"/>
          <w:sz w:val="32"/>
          <w:szCs w:val="32"/>
          <w:rFonts w:ascii="仿宋_GB2312" w:hAnsi="仿宋_GB2312" w:eastAsia="仿宋_GB2312" w:hint="eastAsia"/>
        </w:rPr>
        <w:t xml:space="preserve">收 款 人：长葛市</w:t>
      </w:r>
      <w:r>
        <w:rPr>
          <w:color w:val="ff0000"/>
          <w:sz w:val="32"/>
          <w:lang w:eastAsia="zh-CN"/>
          <w:szCs w:val="32"/>
          <w:rFonts w:ascii="仿宋_GB2312" w:hAnsi="仿宋_GB2312" w:eastAsia="仿宋_GB2312" w:hint="eastAsia"/>
        </w:rPr>
        <w:t xml:space="preserve">公共资源交易中心</w:t>
      </w:r>
      <w:r>
        <w:rPr>
          <w:color w:val="ff0000"/>
          <w:sz w:val="32"/>
          <w:lang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color w:val="ff0000"/>
          <w:sz w:val="32"/>
          <w:szCs w:val="32"/>
          <w:rFonts w:ascii="仿宋_GB2312" w:hAnsi="仿宋_GB2312" w:eastAsia="仿宋_GB2312" w:hint="eastAsia"/>
        </w:rPr>
      </w:pPr>
      <w:r>
        <w:rPr>
          <w:color w:val="ff0000"/>
          <w:sz w:val="32"/>
          <w:szCs w:val="32"/>
          <w:rFonts w:ascii="仿宋_GB2312" w:hAnsi="仿宋_GB2312" w:eastAsia="仿宋_GB2312" w:hint="eastAsia"/>
        </w:rPr>
        <w:t xml:space="preserve">开户银行：</w:t>
      </w:r>
      <w:r>
        <w:rPr>
          <w:color w:val="ff0000"/>
          <w:sz w:val="32"/>
          <w:lang w:eastAsia="zh-CN"/>
          <w:szCs w:val="32"/>
          <w:rFonts w:ascii="仿宋_GB2312" w:hAnsi="仿宋_GB2312" w:eastAsia="仿宋_GB2312" w:hint="eastAsia"/>
        </w:rPr>
        <w:t xml:space="preserve">长葛农商行营业部</w:t>
      </w:r>
      <w:r>
        <w:rPr>
          <w:color w:val="ff0000"/>
          <w:sz w:val="32"/>
          <w:lang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color w:val="ff0000"/>
          <w:sz w:val="32"/>
          <w:szCs w:val="32"/>
          <w:rFonts w:ascii="仿宋_GB2312" w:hAnsi="仿宋_GB2312" w:eastAsia="仿宋_GB2312" w:hint="eastAsia"/>
        </w:rPr>
      </w:pPr>
      <w:r>
        <w:rPr>
          <w:color w:val="ff0000"/>
          <w:sz w:val="32"/>
          <w:szCs w:val="32"/>
          <w:rFonts w:ascii="仿宋_GB2312" w:hAnsi="仿宋_GB2312" w:eastAsia="仿宋_GB2312" w:hint="eastAsia"/>
        </w:rPr>
        <w:t xml:space="preserve">账    号：</w:t>
      </w:r>
      <w:r>
        <w:rPr>
          <w:color w:val="ff0000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1320 1001 8000 00552-0003</w:t>
      </w:r>
      <w:r>
        <w:rPr>
          <w:color w:val="ff0000"/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竞买人存汇款单备注部分填写说明：</w:t>
      </w:r>
      <w:r>
        <w:rPr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start"/>
        <w:widowControl w:val="off"/>
        <w:spacing w:line="580" w:lineRule="exact"/>
        <w:ind w:firstLine="640" w:firstLineChars="200"/>
        <w:rPr>
          <w:u w:val="single"/>
          <w:sz w:val="32"/>
          <w:szCs w:val="32"/>
          <w:rFonts w:ascii="仿宋_GB2312" w:hAnsi="仿宋_GB2312" w:eastAsia="仿宋_GB2312" w:hint="eastAsia"/>
        </w:rPr>
      </w:pP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此款为长产权拍字【</w:t>
      </w:r>
      <w:r>
        <w:rPr>
          <w:u w:val="single"/>
          <w:sz w:val="32"/>
          <w:lang w:eastAsia="zh-CN"/>
          <w:szCs w:val="32"/>
          <w:rFonts w:ascii="仿宋_GB2312" w:hAnsi="仿宋_GB2312" w:eastAsia="仿宋_GB2312" w:hint="eastAsia"/>
        </w:rPr>
        <w:t xml:space="preserve">2024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】0</w:t>
      </w:r>
      <w:r>
        <w:rPr>
          <w:u w:val="single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 1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号</w:t>
      </w:r>
      <w:r>
        <w:rPr>
          <w:u w:val="single"/>
          <w:sz w:val="32"/>
          <w:lang w:eastAsia="zh-CN"/>
          <w:szCs w:val="32"/>
          <w:rFonts w:ascii="仿宋_GB2312" w:hAnsi="仿宋_GB2312" w:eastAsia="仿宋_GB2312" w:hint="eastAsia"/>
        </w:rPr>
        <w:t xml:space="preserve">拍租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项目竞买保证金。</w:t>
      </w:r>
      <w:r>
        <w:rPr>
          <w:u w:val="single"/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六、佣金及缴纳方式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u w:val="none"/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u w:val="none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本次拍租会标的的拍租成交价均不包括5%的拍租佣金。</w:t>
      </w:r>
      <w:r>
        <w:rPr>
          <w:u w:val="none"/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报名地址:</w:t>
      </w:r>
      <w:r>
        <w:rPr>
          <w:sz w:val="32"/>
          <w:lang w:eastAsia="zh-CN"/>
          <w:szCs w:val="32"/>
          <w:rFonts w:ascii="仿宋_GB2312" w:hAnsi="仿宋_GB2312" w:eastAsia="仿宋_GB2312" w:hint="eastAsia"/>
        </w:rPr>
        <w:t xml:space="preserve">许昌市颍昌大道跨越酒店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3楼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联系方式：18539038885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start"/>
        <w:widowControl w:val="off"/>
        <w:spacing w:line="580" w:lineRule="exact"/>
        <w:ind w:firstLineChars="-100" w:hanging="321" w:left="959" w:leftChars="304"/>
        <w:rPr>
          <w:b w:val="1"/>
          <w:color w:val="ff0000"/>
          <w:sz w:val="32"/>
          <w:szCs w:val="32"/>
          <w:rFonts w:ascii="仿宋_GB2312" w:hAnsi="仿宋_GB2312" w:eastAsia="仿宋_GB2312" w:hint="eastAsia"/>
        </w:rPr>
      </w:pPr>
      <w:r>
        <w:rPr>
          <w:b w:val="1"/>
          <w:color w:val="ff0000"/>
          <w:sz w:val="32"/>
          <w:szCs w:val="32"/>
          <w:rFonts w:ascii="仿宋_GB2312" w:hAnsi="仿宋_GB2312" w:eastAsia="仿宋_GB2312" w:hint="eastAsia"/>
        </w:rPr>
        <w:t xml:space="preserve">全国公共资源交易平台（河南省•许昌市）</w:t>
      </w:r>
      <w:r>
        <w:rPr>
          <w:color w:val="ff0000"/>
          <w:sz w:val="32"/>
          <w:szCs w:val="32"/>
          <w:rFonts w:ascii="仿宋_GB2312" w:hAnsi="仿宋_GB2312" w:eastAsia="仿宋_GB2312" w:hint="eastAsia"/>
        </w:rPr>
        <w:t xml:space="preserve">http://ggzy.xuchang.gov.cn/</w:t>
      </w:r>
      <w:r>
        <w:rPr>
          <w:color w:val="ff0000"/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end"/>
        <w:widowControl w:val="off"/>
        <w:spacing w:line="580" w:lineRule="exact"/>
        <w:ind w:firstLine="480"/>
        <w:rPr>
          <w:b w:val="1"/>
          <w:sz w:val="32"/>
          <w:szCs w:val="32"/>
          <w:rFonts w:ascii="仿宋_GB2312" w:hAnsi="仿宋_GB2312" w:eastAsia="仿宋_GB2312" w:hint="eastAsia"/>
        </w:rPr>
      </w:pPr>
      <w:r>
        <w:rPr>
          <w:b w:val="1"/>
          <w:sz w:val="32"/>
          <w:szCs w:val="32"/>
          <w:rFonts w:ascii="仿宋_GB2312" w:hAnsi="仿宋_GB2312" w:eastAsia="仿宋_GB2312" w:hint="eastAsia"/>
        </w:rPr>
        <w:t xml:space="preserve">许昌阳光拍卖有限公司</w:t>
      </w:r>
      <w:r>
        <w:rPr>
          <w:b w:val="1"/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end"/>
        <w:widowControl w:val="off"/>
        <w:spacing w:line="580" w:lineRule="exact"/>
        <w:rPr>
          <w:b w:val="1"/>
          <w:sz w:val="32"/>
          <w:lang w:eastAsia="zh-CN"/>
          <w:szCs w:val="32"/>
          <w:rFonts w:ascii="仿宋_GB2312" w:hAnsi="仿宋_GB2312" w:eastAsia="仿宋_GB2312" w:hint="eastAsia"/>
        </w:rPr>
      </w:pPr>
      <w:r>
        <w:rPr>
          <w:b w:val="1"/>
          <w:sz w:val="32"/>
          <w:lang w:eastAsia="zh-CN"/>
          <w:szCs w:val="32"/>
          <w:rFonts w:ascii="仿宋_GB2312" w:hAnsi="仿宋_GB2312" w:eastAsia="仿宋_GB2312" w:hint="eastAsia"/>
        </w:rPr>
        <w:t xml:space="preserve">2024</w:t>
      </w:r>
      <w:r>
        <w:rPr>
          <w:b w:val="1"/>
          <w:sz w:val="32"/>
          <w:szCs w:val="32"/>
          <w:rFonts w:ascii="仿宋_GB2312" w:hAnsi="仿宋_GB2312" w:eastAsia="仿宋_GB2312" w:hint="eastAsia"/>
        </w:rPr>
        <w:t xml:space="preserve">年6</w:t>
      </w:r>
      <w:r>
        <w:rPr>
          <w:b w:val="1"/>
          <w:sz w:val="32"/>
          <w:szCs w:val="32"/>
          <w:rFonts w:ascii="仿宋_GB2312" w:hAnsi="仿宋_GB2312" w:eastAsia="仿宋_GB2312" w:hint="eastAsia"/>
        </w:rPr>
        <w:t xml:space="preserve">月28</w:t>
      </w:r>
      <w:r>
        <w:rPr>
          <w:b w:val="1"/>
          <w:sz w:val="32"/>
          <w:szCs w:val="32"/>
          <w:rFonts w:ascii="仿宋_GB2312" w:hAnsi="仿宋_GB2312" w:eastAsia="仿宋_GB2312" w:hint="eastAsia"/>
        </w:rPr>
        <w:t xml:space="preserve">日</w:t>
      </w:r>
    </w:p>
    <w:sectPr>
      <w:titlePg w:val="off"/>
      <w:type w:val="nextPage"/>
      <w:docGrid w:type="lines" w:linePitch="312" w:charSpace="0"/>
      <w:pgSz w:w="11906" w:h="16838"/>
      <w:pgMar w:top="1440" w:right="1800" w:bottom="1440" w:left="1800" w:header="851" w:footer="992" w:gutter="0"/>
      <w:rtlGutter w:val="off"/>
      <w:paperSrc w:first="0" w:oth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zoom w:percent="133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  <w:widowControl w:val="off"/>
    </w:pPr>
    <w:rPr>
      <w:sz w:val="21"/>
      <w:lang w:val="en-US" w:eastAsia="zh-CN" w:bidi="ar-SA"/>
      <w:szCs w:val="24"/>
      <w:kern w:val="2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</w:style>
  <w:style w:type="paragraph" w:styleId="Footer">
    <w:name w:val="页脚"/>
    <w:basedOn w:val="Normal"/>
    <w:link w:val="UserStyle_0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0">
    <w:name w:val="页脚 Char"/>
    <w:basedOn w:val="NormalCharacter"/>
    <w:link w:val="Footer"/>
    <w:semiHidden/>
    <w:rPr>
      <w:sz w:val="18"/>
      <w:szCs w:val="18"/>
      <w:rFonts w:ascii="Times New Roman" w:hAnsi="Times New Roman" w:eastAsia="宋体"/>
    </w:rPr>
  </w:style>
  <w:style w:type="paragraph" w:styleId="Header">
    <w:name w:val="页眉"/>
    <w:basedOn w:val="Normal"/>
    <w:link w:val="UserStyle_1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页眉 Char"/>
    <w:basedOn w:val="NormalCharacter"/>
    <w:link w:val="Header"/>
    <w:semiHidden/>
    <w:rPr>
      <w:sz w:val="18"/>
      <w:szCs w:val="18"/>
      <w:rFonts w:ascii="Times New Roman" w:hAnsi="Times New Roman" w:eastAsia="宋体"/>
    </w:rPr>
  </w:style>
  <w:style w:type="character" w:styleId="FollowedHyperlink">
    <w:name w:val="已访问的超链接"/>
    <w:basedOn w:val="NormalCharacter"/>
    <w:link w:val="Normal"/>
    <w:rPr>
      <w:u w:val="none"/>
      <w:color w:val="000000"/>
    </w:rPr>
  </w:style>
  <w:style w:type="character" w:styleId="Emphasis">
    <w:name w:val="强调"/>
    <w:basedOn w:val="NormalCharacter"/>
    <w:link w:val="Normal"/>
    <w:rPr>
      <w:b w:val="0"/>
      <w:i w:val="0"/>
    </w:rPr>
  </w:style>
  <w:style w:type="character" w:styleId="Hyperlink">
    <w:name w:val="超链接"/>
    <w:basedOn w:val="NormalCharacter"/>
    <w:link w:val="Normal"/>
    <w:rPr>
      <w:u w:val="none"/>
      <w:color w:val="000000"/>
    </w:rPr>
  </w:style>
  <w:style w:type="character" w:styleId="UserStyle_2">
    <w:name w:val="red1"/>
    <w:basedOn w:val="NormalCharacter"/>
    <w:link w:val="Normal"/>
    <w:rPr>
      <w:color w:val="ff0000"/>
      <w:sz w:val="18"/>
      <w:szCs w:val="18"/>
    </w:rPr>
  </w:style>
  <w:style w:type="character" w:styleId="UserStyle_3">
    <w:name w:val="red3"/>
    <w:basedOn w:val="NormalCharacter"/>
    <w:link w:val="Normal"/>
    <w:rPr>
      <w:color w:val="ff0000"/>
    </w:rPr>
  </w:style>
  <w:style w:type="character" w:styleId="UserStyle_4">
    <w:name w:val="red2"/>
    <w:basedOn w:val="NormalCharacter"/>
    <w:link w:val="Normal"/>
    <w:rPr>
      <w:color w:val="cc0000"/>
    </w:rPr>
  </w:style>
  <w:style w:type="character" w:styleId="UserStyle_5">
    <w:name w:val="right"/>
    <w:basedOn w:val="NormalCharacter"/>
    <w:link w:val="Normal"/>
    <w:rPr>
      <w:color w:val="999999"/>
      <w:sz w:val="18"/>
      <w:szCs w:val="18"/>
    </w:rPr>
  </w:style>
  <w:style w:type="character" w:styleId="UserStyle_6">
    <w:name w:val="green1"/>
    <w:basedOn w:val="NormalCharacter"/>
    <w:link w:val="Normal"/>
    <w:rPr>
      <w:color w:val="66ae00"/>
      <w:sz w:val="18"/>
      <w:szCs w:val="18"/>
    </w:rPr>
  </w:style>
  <w:style w:type="character" w:styleId="UserStyle_7">
    <w:name w:val="green"/>
    <w:basedOn w:val="NormalCharacter"/>
    <w:link w:val="Normal"/>
    <w:rPr>
      <w:color w:val="66ae00"/>
      <w:sz w:val="18"/>
      <w:szCs w:val="18"/>
    </w:rPr>
  </w:style>
  <w:style w:type="character" w:styleId="UserStyle_8">
    <w:name w:val="blue"/>
    <w:basedOn w:val="NormalCharacter"/>
    <w:link w:val="Normal"/>
    <w:rPr>
      <w:color w:val="0371c6"/>
      <w:sz w:val="21"/>
      <w:szCs w:val="21"/>
    </w:rPr>
  </w:style>
  <w:style w:type="character" w:styleId="UserStyle_9">
    <w:name w:val="hover24"/>
    <w:basedOn w:val="NormalCharacter"/>
    <w:link w:val="Normal"/>
  </w:style>
  <w:style w:type="character" w:styleId="UserStyle_10">
    <w:name w:val="red"/>
    <w:basedOn w:val="NormalCharacter"/>
    <w:link w:val="Normal"/>
    <w:rPr>
      <w:color w:val="ff0000"/>
      <w:sz w:val="18"/>
      <w:szCs w:val="18"/>
    </w:rPr>
  </w:style>
  <w:style w:type="character" w:styleId="UserStyle_11">
    <w:name w:val="gb-jt"/>
    <w:basedOn w:val="NormalCharacter"/>
    <w:link w:val="Normal"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